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6" w:rsidRDefault="008535D6" w:rsidP="008535D6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Жатка для уборки трав </w:t>
      </w:r>
      <w:proofErr w:type="spellStart"/>
      <w:r>
        <w:rPr>
          <w:rFonts w:ascii="Tahoma" w:hAnsi="Tahoma" w:cs="Tahoma"/>
          <w:b/>
          <w:bCs/>
          <w:color w:val="C20336"/>
        </w:rPr>
        <w:t>Grass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Header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500D</w:t>
      </w:r>
    </w:p>
    <w:p w:rsidR="008535D6" w:rsidRDefault="008535D6" w:rsidP="008535D6">
      <w:pPr>
        <w:pStyle w:val="a3"/>
        <w:shd w:val="clear" w:color="auto" w:fill="FFFFFF"/>
        <w:spacing w:line="270" w:lineRule="atLeast"/>
        <w:ind w:left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Для того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чтобы добиться высокой продуктивности от крупного рогатого скота, его необходимо обеспечивать зелеными кормами и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зерносенажом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Отменное качество корма можно получить с помощью</w:t>
      </w:r>
      <w:r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 xml:space="preserve">жатки для уборки трав </w:t>
      </w:r>
      <w:proofErr w:type="spellStart"/>
      <w:r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>Grass</w:t>
      </w:r>
      <w:proofErr w:type="spellEnd"/>
      <w:r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>Header</w:t>
      </w:r>
      <w:proofErr w:type="spellEnd"/>
      <w:r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 xml:space="preserve"> 500D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, которая работает в составе агрегата с кормоуборочным комбайном и скашивает тонкостебельные культуры высотой до 1,5 м. В ходе уборки оптимальная длина среза растений даже на неровных полях достигается за счет особой конструкции: на жатке установлен механизм уравновешивания, позволяющий обеспечить надежное протекание всего процесса уборки.</w:t>
      </w:r>
      <w:proofErr w:type="gramEnd"/>
    </w:p>
    <w:p w:rsidR="008535D6" w:rsidRDefault="008535D6" w:rsidP="008535D6">
      <w:pPr>
        <w:pStyle w:val="a3"/>
        <w:shd w:val="clear" w:color="auto" w:fill="FFFFFF"/>
        <w:spacing w:line="270" w:lineRule="atLeast"/>
        <w:ind w:left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noProof/>
          <w:color w:val="212121"/>
          <w:sz w:val="22"/>
          <w:szCs w:val="22"/>
          <w:shd w:val="clear" w:color="auto" w:fill="FFFFFF"/>
        </w:rPr>
        <w:drawing>
          <wp:inline distT="0" distB="0" distL="0" distR="0">
            <wp:extent cx="2170430" cy="787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D6" w:rsidRDefault="008535D6" w:rsidP="008535D6">
      <w:pPr>
        <w:pStyle w:val="a3"/>
        <w:shd w:val="clear" w:color="auto" w:fill="FFFFFF"/>
        <w:spacing w:line="270" w:lineRule="atLeast"/>
        <w:ind w:left="0"/>
        <w:jc w:val="right"/>
        <w:rPr>
          <w:rStyle w:val="apple-converted-spac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2270760</wp:posOffset>
            </wp:positionV>
            <wp:extent cx="2056130" cy="365760"/>
            <wp:effectExtent l="19050" t="0" r="1270" b="0"/>
            <wp:wrapNone/>
            <wp:docPr id="8" name="Рисунок 6" descr="1c1bf26093b4109d1793d1f0a363d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c1bf26093b4109d1793d1f0a363d7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373245" cy="2632075"/>
            <wp:effectExtent l="19050" t="0" r="8255" b="0"/>
            <wp:docPr id="2" name="Рисунок 10" descr="http://www.kleverltd.com.opt-images.1c-bitrix-cdn.ru/upload/iblock/640/640bf8499d8b23a4d7cd4652df827e30.jpg?148801143620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kleverltd.com.opt-images.1c-bitrix-cdn.ru/upload/iblock/640/640bf8499d8b23a4d7cd4652df827e30.jpg?14880114362012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D6" w:rsidRDefault="008535D6" w:rsidP="008535D6">
      <w:pPr>
        <w:ind w:right="-285"/>
        <w:jc w:val="right"/>
      </w:pPr>
    </w:p>
    <w:tbl>
      <w:tblPr>
        <w:tblStyle w:val="a5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535D6" w:rsidTr="008535D6">
        <w:tc>
          <w:tcPr>
            <w:tcW w:w="5495" w:type="dxa"/>
            <w:hideMark/>
          </w:tcPr>
          <w:p w:rsidR="008535D6" w:rsidRDefault="008535D6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color w:val="C20336"/>
                <w:lang w:eastAsia="en-US"/>
              </w:rPr>
              <w:t>ЦЕНА</w:t>
            </w:r>
          </w:p>
        </w:tc>
      </w:tr>
      <w:tr w:rsidR="008535D6" w:rsidTr="008535D6">
        <w:sdt>
          <w:sdtPr>
            <w:rPr>
              <w:rFonts w:ascii="Tahoma" w:hAnsi="Tahoma" w:cs="Tahoma"/>
              <w:lang w:eastAsia="en-US"/>
            </w:rPr>
            <w:id w:val="-157466025"/>
            <w:placeholder>
              <w:docPart w:val="85E298309739481EB5FC5E680D7AF81A"/>
            </w:placeholder>
            <w:showingPlcHdr/>
          </w:sdtPr>
          <w:sdtContent>
            <w:tc>
              <w:tcPr>
                <w:tcW w:w="5495" w:type="dxa"/>
                <w:hideMark/>
              </w:tcPr>
              <w:p w:rsidR="008535D6" w:rsidRDefault="008535D6">
                <w:pPr>
                  <w:rPr>
                    <w:rFonts w:ascii="Tahoma" w:hAnsi="Tahoma" w:cs="Tahoma"/>
                    <w:lang w:eastAsia="en-US"/>
                  </w:rPr>
                </w:pPr>
                <w:r>
                  <w:rPr>
                    <w:rStyle w:val="a4"/>
                    <w:rFonts w:ascii="Tahoma" w:eastAsia="Calibri" w:hAnsi="Tahoma" w:cs="Tahoma"/>
                    <w:b/>
                    <w:color w:val="7F7F7F" w:themeColor="text1" w:themeTint="80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535D6" w:rsidRDefault="008535D6" w:rsidP="008535D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8535D6" w:rsidRDefault="008535D6" w:rsidP="008535D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8535D6" w:rsidRDefault="008535D6" w:rsidP="008535D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8535D6" w:rsidRDefault="008535D6" w:rsidP="008535D6">
      <w:pPr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жатки для уборки трав </w:t>
      </w:r>
      <w:proofErr w:type="spellStart"/>
      <w:r>
        <w:rPr>
          <w:rFonts w:ascii="Tahoma" w:hAnsi="Tahoma" w:cs="Tahoma"/>
          <w:b/>
          <w:bCs/>
          <w:color w:val="C20336"/>
        </w:rPr>
        <w:t>Grass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Header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500D</w:t>
      </w:r>
    </w:p>
    <w:p w:rsidR="008535D6" w:rsidRDefault="008535D6" w:rsidP="008535D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8464"/>
      </w:tblGrid>
      <w:tr w:rsidR="008535D6" w:rsidTr="008535D6">
        <w:tc>
          <w:tcPr>
            <w:tcW w:w="2291" w:type="dxa"/>
            <w:shd w:val="clear" w:color="auto" w:fill="FFFFFF"/>
            <w:vAlign w:val="center"/>
            <w:hideMark/>
          </w:tcPr>
          <w:p w:rsidR="008535D6" w:rsidRDefault="008535D6">
            <w:pPr>
              <w:spacing w:after="60" w:line="276" w:lineRule="auto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AA022F"/>
                <w:sz w:val="22"/>
                <w:szCs w:val="22"/>
              </w:rPr>
              <w:drawing>
                <wp:inline distT="0" distB="0" distL="0" distR="0">
                  <wp:extent cx="1415415" cy="866775"/>
                  <wp:effectExtent l="19050" t="0" r="0" b="0"/>
                  <wp:docPr id="3" name="Рисунок 3" descr="https://rostselmash.com/uploads/product_media/55223138ad7dds_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rostselmash.com/uploads/product_media/55223138ad7dds_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shd w:val="clear" w:color="auto" w:fill="FFFFFF"/>
            <w:hideMark/>
          </w:tcPr>
          <w:p w:rsidR="008535D6" w:rsidRDefault="008535D6">
            <w:pPr>
              <w:spacing w:line="276" w:lineRule="auto"/>
              <w:ind w:left="148" w:right="284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Качественный срез</w:t>
            </w:r>
          </w:p>
          <w:p w:rsidR="008535D6" w:rsidRDefault="008535D6">
            <w:pPr>
              <w:spacing w:line="276" w:lineRule="auto"/>
              <w:ind w:left="148" w:right="284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>Положение ножей может изменяться вверх или вниз в зависимости от условий работы – это повышает производительность жатки.</w:t>
            </w:r>
          </w:p>
        </w:tc>
      </w:tr>
      <w:tr w:rsidR="008535D6" w:rsidTr="008535D6">
        <w:tc>
          <w:tcPr>
            <w:tcW w:w="2291" w:type="dxa"/>
            <w:shd w:val="clear" w:color="auto" w:fill="FFFFFF"/>
            <w:vAlign w:val="center"/>
            <w:hideMark/>
          </w:tcPr>
          <w:p w:rsidR="008535D6" w:rsidRDefault="008535D6">
            <w:pPr>
              <w:spacing w:after="60" w:line="276" w:lineRule="auto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AA022F"/>
                <w:sz w:val="22"/>
                <w:szCs w:val="22"/>
              </w:rPr>
              <w:drawing>
                <wp:inline distT="0" distB="0" distL="0" distR="0">
                  <wp:extent cx="1438910" cy="1073150"/>
                  <wp:effectExtent l="19050" t="0" r="8890" b="0"/>
                  <wp:docPr id="4" name="Рисунок 6" descr="https://rostselmash.com/uploads/product_media/5522314428972s_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rostselmash.com/uploads/product_media/5522314428972s_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shd w:val="clear" w:color="auto" w:fill="FFFFFF"/>
            <w:hideMark/>
          </w:tcPr>
          <w:p w:rsidR="008535D6" w:rsidRDefault="008535D6">
            <w:pPr>
              <w:spacing w:line="276" w:lineRule="auto"/>
              <w:ind w:left="148" w:right="284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Система копирования рельефа</w:t>
            </w:r>
          </w:p>
          <w:p w:rsidR="008535D6" w:rsidRDefault="008535D6">
            <w:pPr>
              <w:spacing w:line="276" w:lineRule="auto"/>
              <w:ind w:left="148" w:right="284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>Возможность копирования рельефа почвы гарантирует эффективное использование жатки на неровных полях.</w:t>
            </w:r>
          </w:p>
        </w:tc>
      </w:tr>
      <w:tr w:rsidR="008535D6" w:rsidTr="008535D6">
        <w:tc>
          <w:tcPr>
            <w:tcW w:w="2291" w:type="dxa"/>
            <w:shd w:val="clear" w:color="auto" w:fill="FFFFFF"/>
            <w:vAlign w:val="center"/>
            <w:hideMark/>
          </w:tcPr>
          <w:p w:rsidR="008535D6" w:rsidRDefault="008535D6">
            <w:pPr>
              <w:spacing w:after="60" w:line="276" w:lineRule="auto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AA022F"/>
                <w:sz w:val="22"/>
                <w:szCs w:val="22"/>
              </w:rPr>
              <w:drawing>
                <wp:inline distT="0" distB="0" distL="0" distR="0">
                  <wp:extent cx="1438910" cy="1089025"/>
                  <wp:effectExtent l="19050" t="0" r="8890" b="0"/>
                  <wp:docPr id="5" name="Рисунок 9" descr="https://rostselmash.com/uploads/product_media/552232fa619b3s_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rostselmash.com/uploads/product_media/552232fa619b3s_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shd w:val="clear" w:color="auto" w:fill="FFFFFF"/>
            <w:hideMark/>
          </w:tcPr>
          <w:p w:rsidR="008535D6" w:rsidRDefault="008535D6">
            <w:pPr>
              <w:spacing w:line="276" w:lineRule="auto"/>
              <w:ind w:left="148" w:right="284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Повышенная надежность</w:t>
            </w:r>
          </w:p>
          <w:p w:rsidR="008535D6" w:rsidRDefault="008535D6">
            <w:pPr>
              <w:spacing w:line="276" w:lineRule="auto"/>
              <w:ind w:left="148" w:right="284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Увеличенный диаметр трубы мотовила позволяет легко справляться с заготовкой </w:t>
            </w:r>
            <w:proofErr w:type="spellStart"/>
            <w:r>
              <w:rPr>
                <w:rFonts w:ascii="Tahoma" w:hAnsi="Tahoma" w:cs="Tahoma"/>
                <w:color w:val="555555"/>
                <w:sz w:val="22"/>
                <w:szCs w:val="22"/>
              </w:rPr>
              <w:t>зерносенажа</w:t>
            </w:r>
            <w:proofErr w:type="spellEnd"/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 и зеленого корма.</w:t>
            </w:r>
          </w:p>
        </w:tc>
      </w:tr>
      <w:tr w:rsidR="008535D6" w:rsidTr="008535D6">
        <w:tc>
          <w:tcPr>
            <w:tcW w:w="2291" w:type="dxa"/>
            <w:shd w:val="clear" w:color="auto" w:fill="FFFFFF"/>
            <w:vAlign w:val="center"/>
            <w:hideMark/>
          </w:tcPr>
          <w:p w:rsidR="008535D6" w:rsidRDefault="008535D6">
            <w:pPr>
              <w:spacing w:after="60" w:line="276" w:lineRule="auto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AA022F"/>
                <w:sz w:val="22"/>
                <w:szCs w:val="22"/>
              </w:rPr>
              <w:lastRenderedPageBreak/>
              <w:drawing>
                <wp:inline distT="0" distB="0" distL="0" distR="0">
                  <wp:extent cx="1438910" cy="993775"/>
                  <wp:effectExtent l="19050" t="0" r="8890" b="0"/>
                  <wp:docPr id="6" name="Рисунок 12" descr="https://rostselmash.com/uploads/product_media/55223308eb510s_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rostselmash.com/uploads/product_media/55223308eb510s_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shd w:val="clear" w:color="auto" w:fill="FFFFFF"/>
            <w:hideMark/>
          </w:tcPr>
          <w:p w:rsidR="008535D6" w:rsidRDefault="008535D6">
            <w:pPr>
              <w:spacing w:line="276" w:lineRule="auto"/>
              <w:ind w:left="148" w:right="284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Минимум времени на обслуживание</w:t>
            </w:r>
          </w:p>
          <w:p w:rsidR="008535D6" w:rsidRDefault="008535D6">
            <w:pPr>
              <w:spacing w:line="276" w:lineRule="auto"/>
              <w:ind w:left="148" w:right="284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>Удобно расположенные точки смазки, простая регулировка зазоров без проблем позволяют осуществлять текущее техническое обслуживание машины.</w:t>
            </w:r>
          </w:p>
        </w:tc>
      </w:tr>
      <w:tr w:rsidR="008535D6" w:rsidTr="008535D6">
        <w:tc>
          <w:tcPr>
            <w:tcW w:w="2291" w:type="dxa"/>
            <w:shd w:val="clear" w:color="auto" w:fill="FFFFFF"/>
            <w:vAlign w:val="center"/>
            <w:hideMark/>
          </w:tcPr>
          <w:p w:rsidR="008535D6" w:rsidRDefault="008535D6">
            <w:pPr>
              <w:spacing w:after="60" w:line="276" w:lineRule="auto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AA022F"/>
                <w:sz w:val="22"/>
                <w:szCs w:val="22"/>
              </w:rPr>
              <w:drawing>
                <wp:inline distT="0" distB="0" distL="0" distR="0">
                  <wp:extent cx="1438910" cy="1121410"/>
                  <wp:effectExtent l="19050" t="0" r="8890" b="0"/>
                  <wp:docPr id="7" name="Рисунок 15" descr="https://rostselmash.com/uploads/product_media/55223314da8aas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rostselmash.com/uploads/product_media/55223314da8aas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shd w:val="clear" w:color="auto" w:fill="FFFFFF"/>
            <w:hideMark/>
          </w:tcPr>
          <w:p w:rsidR="008535D6" w:rsidRDefault="008535D6">
            <w:pPr>
              <w:spacing w:line="276" w:lineRule="auto"/>
              <w:ind w:left="148" w:right="284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Уравновешивающий механизм</w:t>
            </w:r>
          </w:p>
          <w:p w:rsidR="008535D6" w:rsidRDefault="008535D6">
            <w:pPr>
              <w:spacing w:line="276" w:lineRule="auto"/>
              <w:ind w:left="148" w:right="284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Корпус имеет возможность перемещаться в </w:t>
            </w:r>
            <w:proofErr w:type="gramStart"/>
            <w:r>
              <w:rPr>
                <w:rFonts w:ascii="Tahoma" w:hAnsi="Tahoma" w:cs="Tahoma"/>
                <w:color w:val="555555"/>
                <w:sz w:val="22"/>
                <w:szCs w:val="22"/>
              </w:rPr>
              <w:t>поперечном</w:t>
            </w:r>
            <w:proofErr w:type="gramEnd"/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 направлениях.</w:t>
            </w:r>
          </w:p>
        </w:tc>
      </w:tr>
    </w:tbl>
    <w:p w:rsidR="008535D6" w:rsidRDefault="008535D6" w:rsidP="008535D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497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4"/>
        <w:gridCol w:w="1895"/>
        <w:gridCol w:w="1814"/>
        <w:gridCol w:w="1814"/>
      </w:tblGrid>
      <w:tr w:rsidR="008535D6" w:rsidTr="008535D6">
        <w:tc>
          <w:tcPr>
            <w:tcW w:w="10497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Модель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МСМ-100.70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МСМ-100.70-02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8535D6" w:rsidRDefault="008535D6">
            <w:pPr>
              <w:spacing w:line="276" w:lineRule="auto"/>
              <w:ind w:firstLine="106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МСМ-1401.70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Ширина захвата (конструкционная),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4950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Производительность, га/ч,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5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Мотовило</w:t>
            </w:r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4-х лопастное, грабельное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Высота среза,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при копировании рельефа поля</w:t>
            </w:r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50±15; 100±15; 150±15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Режущий аппарат</w:t>
            </w:r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Одноножевой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сегментного типа со стальными сдвоенными пальцами открытого типа без вкладышей</w:t>
            </w:r>
          </w:p>
        </w:tc>
      </w:tr>
      <w:tr w:rsidR="008535D6" w:rsidTr="008535D6">
        <w:trPr>
          <w:trHeight w:val="18"/>
        </w:trPr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Привод ножей</w:t>
            </w:r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Планетарный редуктор</w:t>
            </w:r>
          </w:p>
        </w:tc>
      </w:tr>
      <w:tr w:rsidR="008535D6" w:rsidTr="008535D6">
        <w:trPr>
          <w:trHeight w:val="18"/>
        </w:trPr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Плоскости среза ножей</w:t>
            </w:r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Чередование «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нижняя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/верхняя»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Ход ножей,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85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Скорость среза, ходов/мин</w:t>
            </w:r>
          </w:p>
        </w:tc>
        <w:tc>
          <w:tcPr>
            <w:tcW w:w="370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656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800±50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165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0±50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175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0±50</w:t>
            </w:r>
          </w:p>
        </w:tc>
      </w:tr>
      <w:tr w:rsidR="008535D6" w:rsidTr="008535D6">
        <w:tc>
          <w:tcPr>
            <w:tcW w:w="497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Агрегатируемый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комбайн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Don-680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М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F1300</w:t>
            </w:r>
          </w:p>
        </w:tc>
        <w:tc>
          <w:tcPr>
            <w:tcW w:w="181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8535D6" w:rsidRDefault="008535D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RSM 1401</w:t>
            </w:r>
          </w:p>
        </w:tc>
      </w:tr>
    </w:tbl>
    <w:p w:rsidR="00D21D41" w:rsidRPr="008535D6" w:rsidRDefault="008535D6" w:rsidP="008535D6"/>
    <w:sectPr w:rsidR="00D21D41" w:rsidRPr="008535D6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25D"/>
    <w:rsid w:val="00094F07"/>
    <w:rsid w:val="00215553"/>
    <w:rsid w:val="00607F6C"/>
    <w:rsid w:val="008535D6"/>
    <w:rsid w:val="0099707F"/>
    <w:rsid w:val="00A8304F"/>
    <w:rsid w:val="00C76D35"/>
    <w:rsid w:val="00C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25D"/>
  </w:style>
  <w:style w:type="paragraph" w:styleId="a3">
    <w:name w:val="List Paragraph"/>
    <w:basedOn w:val="a"/>
    <w:uiPriority w:val="34"/>
    <w:qFormat/>
    <w:rsid w:val="00CF32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325D"/>
    <w:rPr>
      <w:color w:val="808080"/>
    </w:rPr>
  </w:style>
  <w:style w:type="table" w:styleId="a5">
    <w:name w:val="Table Grid"/>
    <w:basedOn w:val="a1"/>
    <w:uiPriority w:val="59"/>
    <w:rsid w:val="00CF32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E298309739481EB5FC5E680D7AF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456AC-02B4-4394-B9C7-AE9E87DDE136}"/>
      </w:docPartPr>
      <w:docPartBody>
        <w:p w:rsidR="00000000" w:rsidRDefault="000E275D" w:rsidP="000E275D">
          <w:pPr>
            <w:pStyle w:val="85E298309739481EB5FC5E680D7AF81A"/>
          </w:pPr>
          <w:r>
            <w:rPr>
              <w:rStyle w:val="a3"/>
              <w:rFonts w:ascii="Tahoma" w:eastAsia="Calibri" w:hAnsi="Tahoma" w:cs="Tahoma"/>
              <w:b/>
              <w:color w:val="7F7F7F" w:themeColor="text1" w:themeTint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275D"/>
    <w:rsid w:val="000E275D"/>
    <w:rsid w:val="004D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75D"/>
  </w:style>
  <w:style w:type="paragraph" w:customStyle="1" w:styleId="85E298309739481EB5FC5E680D7AF81A">
    <w:name w:val="85E298309739481EB5FC5E680D7AF81A"/>
    <w:rsid w:val="000E2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KZ Rostselmash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2021-06-24T12:06:00Z</dcterms:created>
  <dcterms:modified xsi:type="dcterms:W3CDTF">2022-04-15T08:17:00Z</dcterms:modified>
</cp:coreProperties>
</file>